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ind w:leftChars="0"/>
        <w:jc w:val="center"/>
        <w:rPr>
          <w:rStyle w:val="9"/>
          <w:rFonts w:hint="eastAsia" w:ascii="黑体" w:hAnsi="黑体" w:eastAsia="黑体" w:cs="Arial"/>
          <w:sz w:val="44"/>
        </w:rPr>
      </w:pPr>
      <w:r>
        <w:rPr>
          <w:rStyle w:val="9"/>
          <w:rFonts w:hint="eastAsia" w:ascii="黑体" w:hAnsi="黑体" w:eastAsia="黑体" w:cs="Arial"/>
          <w:sz w:val="44"/>
          <w:lang w:val="en-US" w:eastAsia="zh-CN"/>
        </w:rPr>
        <w:t>“追锋计划”—</w:t>
      </w:r>
      <w:r>
        <w:rPr>
          <w:rStyle w:val="9"/>
          <w:rFonts w:hint="eastAsia" w:ascii="黑体" w:hAnsi="黑体" w:eastAsia="黑体" w:cs="Arial"/>
          <w:sz w:val="44"/>
        </w:rPr>
        <w:t>中建五局</w:t>
      </w:r>
      <w:r>
        <w:rPr>
          <w:rStyle w:val="9"/>
          <w:rFonts w:hint="eastAsia" w:ascii="黑体" w:hAnsi="黑体" w:eastAsia="黑体" w:cs="Arial"/>
          <w:sz w:val="44"/>
          <w:lang w:val="en-US" w:eastAsia="zh-CN"/>
        </w:rPr>
        <w:t>华南公司</w:t>
      </w:r>
    </w:p>
    <w:p>
      <w:pPr>
        <w:numPr>
          <w:ilvl w:val="0"/>
          <w:numId w:val="0"/>
        </w:numPr>
        <w:spacing w:line="440" w:lineRule="exact"/>
        <w:ind w:leftChars="0"/>
        <w:jc w:val="center"/>
        <w:rPr>
          <w:rStyle w:val="9"/>
          <w:rFonts w:hint="eastAsia" w:ascii="黑体" w:hAnsi="黑体" w:eastAsia="黑体" w:cs="Arial"/>
          <w:sz w:val="44"/>
        </w:rPr>
      </w:pPr>
      <w:r>
        <w:rPr>
          <w:rStyle w:val="9"/>
          <w:rFonts w:hint="eastAsia" w:ascii="黑体" w:hAnsi="黑体" w:eastAsia="黑体" w:cs="Arial"/>
          <w:sz w:val="44"/>
          <w:lang w:eastAsia="zh-CN"/>
        </w:rPr>
        <w:t>2024</w:t>
      </w:r>
      <w:r>
        <w:rPr>
          <w:rStyle w:val="9"/>
          <w:rFonts w:hint="eastAsia" w:ascii="黑体" w:hAnsi="黑体" w:eastAsia="黑体" w:cs="Arial"/>
          <w:sz w:val="44"/>
          <w:lang w:val="en-US" w:eastAsia="zh-CN"/>
        </w:rPr>
        <w:t>届</w:t>
      </w:r>
      <w:r>
        <w:rPr>
          <w:rStyle w:val="9"/>
          <w:rFonts w:hint="eastAsia" w:ascii="黑体" w:hAnsi="黑体" w:eastAsia="黑体" w:cs="Arial"/>
          <w:sz w:val="44"/>
        </w:rPr>
        <w:t>校园招聘</w:t>
      </w:r>
    </w:p>
    <w:p>
      <w:pPr>
        <w:pStyle w:val="2"/>
        <w:jc w:val="center"/>
        <w:rPr>
          <w:rFonts w:hint="eastAsia"/>
        </w:rPr>
      </w:pPr>
    </w:p>
    <w:p>
      <w:pPr>
        <w:spacing w:line="440" w:lineRule="exact"/>
        <w:rPr>
          <w:rStyle w:val="9"/>
          <w:rFonts w:hint="eastAsia" w:ascii="微软雅黑" w:hAnsi="微软雅黑" w:eastAsia="微软雅黑" w:cs="Arial"/>
          <w:color w:val="FF0000"/>
          <w:sz w:val="32"/>
        </w:rPr>
      </w:pPr>
      <w:r>
        <w:rPr>
          <w:rStyle w:val="9"/>
          <w:rFonts w:hint="eastAsia" w:ascii="微软雅黑" w:hAnsi="微软雅黑" w:eastAsia="微软雅黑" w:cs="Arial"/>
          <w:color w:val="FF0000"/>
          <w:sz w:val="32"/>
        </w:rPr>
        <w:t>一、企业简介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中建五局是世界500强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第13位</w:t>
      </w:r>
      <w:r>
        <w:rPr>
          <w:rFonts w:hint="eastAsia" w:ascii="宋体" w:hAnsi="宋体" w:eastAsia="宋体" w:cs="宋体"/>
          <w:sz w:val="24"/>
          <w:szCs w:val="24"/>
        </w:rPr>
        <w:t>、全球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规模最大的</w:t>
      </w:r>
      <w:r>
        <w:rPr>
          <w:rFonts w:hint="eastAsia" w:ascii="宋体" w:hAnsi="宋体" w:eastAsia="宋体" w:cs="宋体"/>
          <w:sz w:val="24"/>
          <w:szCs w:val="24"/>
        </w:rPr>
        <w:t>投资建设集团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之一</w:t>
      </w:r>
      <w:r>
        <w:rPr>
          <w:rFonts w:hint="eastAsia" w:ascii="宋体" w:hAnsi="宋体" w:eastAsia="宋体" w:cs="宋体"/>
          <w:sz w:val="24"/>
          <w:szCs w:val="24"/>
        </w:rPr>
        <w:t>、国务院国资委直接管理的中央大型企业----中国建筑集团公司的重要骨干成员企业。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建五局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总资产过1500亿元，累积投资额超3000亿元。新世纪以来，主要指标年均以两位数速率增长，年合同额超3000亿元、营业收入超1500亿元，已发展成为投资商、建造商、运营商“三商一体”的现代化投资建设集团。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中建五局华南公司是中建五局</w:t>
      </w:r>
      <w:r>
        <w:rPr>
          <w:rFonts w:hint="eastAsia" w:ascii="宋体" w:hAnsi="宋体" w:eastAsia="宋体" w:cs="宋体"/>
          <w:sz w:val="24"/>
          <w:szCs w:val="24"/>
        </w:rPr>
        <w:t>的直营公司，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连续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19年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综合实力位居中国建筑直营公司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前十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、五局二级单位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数一数二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，是华南地区最具竞争力建筑施工企业之一。中标合同额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超750亿元，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员工人数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近6000人，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现有高级及以上职称近200人，一级建造师近500人，持注册类证书近600人。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公司核心管理优势持续升级。超高层建筑优势明显，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五局首个超200米、300米、400米的建筑均由华南公司承建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承建423米东莞国贸中心、342米深圳湾壹号、303米柳州地王大厦，含东莞、柳州、三亚等城市“第一高楼”7栋。快速建造保持行业领先，率先应用新建造体系，375天实现精装交楼，深圳湾壹号T7比同行业超300米工程工期缩短40%。在PPP、地铁、水环境治理、建筑工业化、EPC管理等方面先行先试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，实现多个首次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，承建全了一批代表性工程，助推企业步入转型升级的快车道。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363333"/>
          <w:spacing w:val="10"/>
          <w:sz w:val="24"/>
          <w:szCs w:val="24"/>
          <w:shd w:val="clear" w:fill="C7E9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公司荣获“全国五一劳动奖状”“中央企业先进集体”“鲁班奖”等国家级荣誉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60余项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。近三年获广东</w:t>
      </w:r>
      <w:r>
        <w:rPr>
          <w:rFonts w:hint="eastAsia" w:ascii="宋体" w:hAnsi="宋体" w:eastAsia="宋体" w:cs="宋体"/>
          <w:sz w:val="24"/>
          <w:szCs w:val="24"/>
        </w:rPr>
        <w:t>省工程类最高奖项——广东省建设工程金匠奖数量占据全省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总量第一，</w:t>
      </w:r>
      <w:r>
        <w:rPr>
          <w:rFonts w:hint="eastAsia" w:ascii="宋体" w:hAnsi="宋体" w:eastAsia="宋体" w:cs="宋体"/>
          <w:sz w:val="24"/>
          <w:szCs w:val="24"/>
        </w:rPr>
        <w:t>企业品牌影响力不断提升和扩大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40" w:lineRule="exact"/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</w:pPr>
    </w:p>
    <w:p>
      <w:pPr>
        <w:spacing w:line="440" w:lineRule="exact"/>
        <w:rPr>
          <w:rStyle w:val="9"/>
          <w:rFonts w:hint="default" w:ascii="微软雅黑" w:hAnsi="微软雅黑" w:eastAsia="微软雅黑" w:cs="Arial"/>
          <w:color w:val="FF0000"/>
          <w:sz w:val="32"/>
          <w:lang w:val="en-US" w:eastAsia="zh-CN"/>
        </w:rPr>
      </w:pPr>
      <w:r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  <w:t>二</w:t>
      </w:r>
      <w:r>
        <w:rPr>
          <w:rStyle w:val="9"/>
          <w:rFonts w:hint="eastAsia" w:ascii="微软雅黑" w:hAnsi="微软雅黑" w:eastAsia="微软雅黑" w:cs="Arial"/>
          <w:color w:val="FF0000"/>
          <w:sz w:val="32"/>
        </w:rPr>
        <w:t>、</w:t>
      </w:r>
      <w:r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  <w:t>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b w:val="0"/>
          <w:sz w:val="24"/>
          <w:szCs w:val="24"/>
        </w:rPr>
        <w:t>●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我们提供具有行业与地区竞争力的薪酬回报，</w:t>
      </w:r>
      <w:r>
        <w:rPr>
          <w:rStyle w:val="9"/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综合年薪10W-30W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，年增长幅度</w:t>
      </w:r>
      <w:r>
        <w:rPr>
          <w:rStyle w:val="9"/>
          <w:rFonts w:hint="eastAsia" w:ascii="宋体" w:hAnsi="宋体" w:eastAsia="宋体" w:cs="宋体"/>
          <w:b/>
          <w:bCs/>
          <w:color w:val="FF0000"/>
          <w:sz w:val="24"/>
          <w:szCs w:val="24"/>
        </w:rPr>
        <w:t>5%-</w:t>
      </w:r>
      <w:r>
        <w:rPr>
          <w:rStyle w:val="9"/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12</w:t>
      </w:r>
      <w:r>
        <w:rPr>
          <w:rStyle w:val="9"/>
          <w:rFonts w:hint="eastAsia" w:ascii="宋体" w:hAnsi="宋体" w:eastAsia="宋体" w:cs="宋体"/>
          <w:b/>
          <w:bCs/>
          <w:color w:val="FF0000"/>
          <w:sz w:val="24"/>
          <w:szCs w:val="24"/>
        </w:rPr>
        <w:t>%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，</w:t>
      </w:r>
      <w:r>
        <w:rPr>
          <w:rStyle w:val="9"/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职级职务双晋升通道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，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薪酬增长幅度可观。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b w:val="0"/>
          <w:sz w:val="24"/>
          <w:szCs w:val="24"/>
        </w:rPr>
        <w:t>●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薪酬组成：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bCs w:val="0"/>
          <w:sz w:val="24"/>
          <w:szCs w:val="24"/>
        </w:rPr>
        <w:t>固定部分：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岗位工资、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职级工资、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津补贴（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地区补贴</w:t>
      </w:r>
      <w:r>
        <w:rPr>
          <w:rFonts w:hint="eastAsia" w:ascii="宋体" w:hAnsi="宋体" w:eastAsia="宋体" w:cs="宋体"/>
          <w:sz w:val="24"/>
          <w:szCs w:val="24"/>
        </w:rPr>
        <w:t>、电脑补贴、交通补贴、话费补贴、项目施工津贴、兼职补贴、艰苦补贴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、年功津贴、专业技术津贴、特殊津贴等）、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险两金。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价值创造</w:t>
      </w:r>
      <w:r>
        <w:rPr>
          <w:rStyle w:val="9"/>
          <w:rFonts w:hint="eastAsia" w:ascii="宋体" w:hAnsi="宋体" w:eastAsia="宋体" w:cs="宋体"/>
          <w:bCs w:val="0"/>
          <w:sz w:val="24"/>
          <w:szCs w:val="24"/>
        </w:rPr>
        <w:t>部分：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效益工资、专项奖励（市场营销奖、履约奖、创效奖、成本节约奖、质量安全奖、科技进步奖等）。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b w:val="0"/>
          <w:sz w:val="24"/>
          <w:szCs w:val="24"/>
        </w:rPr>
        <w:t>●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其他福利：免费食宿、定期体检、岗位培训、拓展训练、继续教育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节日慰问；带薪年休假、探亲假、婚丧假、产假、病假等各种假期。</w:t>
      </w:r>
      <w:bookmarkStart w:id="0" w:name="_GoBack"/>
      <w:bookmarkEnd w:id="0"/>
    </w:p>
    <w:p>
      <w:pPr>
        <w:spacing w:line="440" w:lineRule="exact"/>
        <w:rPr>
          <w:rStyle w:val="9"/>
          <w:rFonts w:hint="default" w:ascii="微软雅黑" w:hAnsi="微软雅黑" w:eastAsia="微软雅黑" w:cs="Arial"/>
          <w:color w:val="FF0000"/>
          <w:sz w:val="32"/>
          <w:lang w:val="en-US" w:eastAsia="zh-CN"/>
        </w:rPr>
      </w:pPr>
      <w:r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  <w:t>三</w:t>
      </w:r>
      <w:r>
        <w:rPr>
          <w:rStyle w:val="9"/>
          <w:rFonts w:hint="eastAsia" w:ascii="微软雅黑" w:hAnsi="微软雅黑" w:eastAsia="微软雅黑" w:cs="Arial"/>
          <w:color w:val="FF0000"/>
          <w:sz w:val="32"/>
        </w:rPr>
        <w:t>、</w:t>
      </w:r>
      <w:r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  <w:t>工作地点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国内：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广东、广西、海南、福建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/>
        </w:rPr>
      </w:pP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海外：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马来西亚、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印度、孟加拉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国、越南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</w:rPr>
        <w:t>等地区。</w:t>
      </w:r>
    </w:p>
    <w:p>
      <w:pPr>
        <w:spacing w:line="440" w:lineRule="exact"/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</w:pPr>
      <w:r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  <w:t>四、英才招募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9"/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一</w:t>
      </w: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招聘岗位</w:t>
      </w:r>
    </w:p>
    <w:p>
      <w:pPr>
        <w:pStyle w:val="11"/>
        <w:numPr>
          <w:ilvl w:val="0"/>
          <w:numId w:val="1"/>
        </w:numPr>
        <w:adjustRightInd w:val="0"/>
        <w:spacing w:line="440" w:lineRule="exact"/>
        <w:ind w:left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工程类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工程管理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岗、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科研技术岗、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机电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钢构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岗、商务管理岗、安全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设备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岗、工程物资岗、工程测量岗、工程试验岗、工程资料岗；</w:t>
      </w:r>
    </w:p>
    <w:p>
      <w:pPr>
        <w:pStyle w:val="11"/>
        <w:numPr>
          <w:ilvl w:val="0"/>
          <w:numId w:val="1"/>
        </w:numPr>
        <w:adjustRightInd w:val="0"/>
        <w:spacing w:line="440" w:lineRule="exact"/>
        <w:ind w:left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职能类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财务会计岗、法务管理岗、综合行政岗、宣传管理岗、人力资源岗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、市场营销岗、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英语翻译岗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二</w:t>
      </w: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  <w:t>）招聘要求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="0" w:firstLine="0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2"/>
          <w:sz w:val="24"/>
          <w:szCs w:val="28"/>
          <w:lang w:val="en-US" w:eastAsia="zh-CN" w:bidi="ar-SA"/>
        </w:rPr>
        <w:t>学校：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国内重点知名高校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eastAsia="zh-CN"/>
        </w:rPr>
        <w:t>，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国（境）外QS世界排名前200名高校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="0" w:firstLine="0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2"/>
          <w:sz w:val="24"/>
          <w:szCs w:val="28"/>
          <w:lang w:val="en-US" w:eastAsia="zh-CN" w:bidi="ar-SA"/>
        </w:rPr>
        <w:t>学历：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202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4届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本科、硕士、博士毕业生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博士25届可招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="0" w:firstLine="0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2"/>
          <w:sz w:val="24"/>
          <w:szCs w:val="28"/>
          <w:lang w:val="en-US" w:eastAsia="zh-CN" w:bidi="ar-SA"/>
        </w:rPr>
        <w:t>专业：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专业对口，符合招录岗位要求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="0" w:firstLine="0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2"/>
          <w:sz w:val="24"/>
          <w:szCs w:val="28"/>
          <w:lang w:val="en-US" w:eastAsia="zh-CN" w:bidi="ar-SA"/>
        </w:rPr>
        <w:t>成绩：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成绩良好，专业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关键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课程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无补考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，获得各类奖学金者优先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="0" w:firstLine="0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2"/>
          <w:sz w:val="24"/>
          <w:szCs w:val="28"/>
          <w:lang w:val="en-US" w:eastAsia="zh-CN" w:bidi="ar-SA"/>
        </w:rPr>
        <w:t>素质：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吃苦耐劳，勤奋敬业，有志投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身建筑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行业；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480" w:firstLineChars="200"/>
        <w:textAlignment w:val="auto"/>
        <w:rPr>
          <w:rStyle w:val="9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 xml:space="preserve">    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 xml:space="preserve"> 乐于学习，敢于创新，潜心建立核心优势；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Chars="0"/>
        <w:textAlignment w:val="auto"/>
        <w:rPr>
          <w:rFonts w:hint="eastAsia"/>
        </w:rPr>
      </w:pP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         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善于沟通，勇于承责，具备团队协作精神。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color w:val="FF0000"/>
          <w:sz w:val="24"/>
          <w:szCs w:val="24"/>
          <w:lang w:eastAsia="zh-CN"/>
        </w:rPr>
        <w:t>）需求专业：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481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2"/>
          <w:sz w:val="24"/>
          <w:szCs w:val="28"/>
          <w:lang w:val="en-US" w:eastAsia="zh-CN" w:bidi="ar-SA"/>
        </w:rPr>
        <w:t>工程类：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土木工程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工程力学、工程管理、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工程造价、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安全工程、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水利水电工程、市政工程、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勘察技术与工程、岩土工程、道桥工程、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地质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工程、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环境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工程、给排水、暖通、电气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与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自动化、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机械设计制造及其自动化、建筑环境与设备工程、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测绘工程、物流管理、无机非金属、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材料工程、工程资料、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钢结构/焊接等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color w:val="0070C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FF0000"/>
          <w:kern w:val="2"/>
          <w:sz w:val="24"/>
          <w:szCs w:val="28"/>
          <w:lang w:val="en-US" w:eastAsia="zh-CN" w:bidi="ar-SA"/>
        </w:rPr>
        <w:t>职能类：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会计学、财务管理、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法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学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eastAsia="zh-CN"/>
        </w:rPr>
        <w:t>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中文类、行政类、人力资源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、</w:t>
      </w:r>
      <w:r>
        <w:rPr>
          <w:rStyle w:val="9"/>
          <w:rFonts w:hint="eastAsia" w:ascii="宋体" w:hAnsi="宋体" w:eastAsia="宋体" w:cs="宋体"/>
          <w:b w:val="0"/>
          <w:sz w:val="24"/>
          <w:szCs w:val="24"/>
        </w:rPr>
        <w:t>金融学、经济学、审计学、英语等</w:t>
      </w:r>
    </w:p>
    <w:p>
      <w:pPr>
        <w:spacing w:line="440" w:lineRule="exact"/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</w:pPr>
      <w:r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广东省广州市海珠区新港东路1088号中洲交易中心13层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陈</w:t>
      </w:r>
      <w:r>
        <w:rPr>
          <w:rFonts w:hint="eastAsia" w:ascii="宋体" w:hAnsi="宋体" w:eastAsia="宋体" w:cs="宋体"/>
          <w:bCs/>
          <w:sz w:val="24"/>
          <w:szCs w:val="24"/>
        </w:rPr>
        <w:t>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联系电话：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020-89300233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投递邮箱：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instrText xml:space="preserve"> HYPERLINK "mailto:wujuhuananzhaopin@163.com" </w:instrTex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bCs/>
          <w:sz w:val="24"/>
          <w:szCs w:val="24"/>
          <w:lang w:val="en-US" w:eastAsia="zh-CN"/>
        </w:rPr>
        <w:t>wujuhuananzhaopin@163</w:t>
      </w:r>
      <w:r>
        <w:rPr>
          <w:rStyle w:val="10"/>
          <w:rFonts w:hint="eastAsia" w:ascii="宋体" w:hAnsi="宋体" w:eastAsia="宋体" w:cs="宋体"/>
          <w:sz w:val="24"/>
          <w:szCs w:val="24"/>
        </w:rPr>
        <w:t>.com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fldChar w:fldCharType="end"/>
      </w:r>
    </w:p>
    <w:p>
      <w:pPr>
        <w:spacing w:line="440" w:lineRule="exact"/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</w:pPr>
      <w:r>
        <w:rPr>
          <w:rStyle w:val="9"/>
          <w:rFonts w:hint="eastAsia" w:ascii="微软雅黑" w:hAnsi="微软雅黑" w:eastAsia="微软雅黑" w:cs="Arial"/>
          <w:color w:val="FF0000"/>
          <w:sz w:val="32"/>
          <w:lang w:val="en-US" w:eastAsia="zh-CN"/>
        </w:rPr>
        <w:t>六</w:t>
      </w:r>
      <w:r>
        <w:rPr>
          <w:rStyle w:val="9"/>
          <w:rFonts w:hint="eastAsia" w:ascii="微软雅黑" w:hAnsi="微软雅黑" w:eastAsia="微软雅黑" w:cs="Arial"/>
          <w:color w:val="FF0000"/>
          <w:sz w:val="32"/>
        </w:rPr>
        <w:t>、人才管理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微软雅黑" w:hAnsi="微软雅黑" w:eastAsia="微软雅黑" w:cs="DotumChe"/>
          <w:b/>
          <w:bCs/>
          <w:color w:val="FF0000"/>
          <w:sz w:val="24"/>
          <w:lang w:val="en-US" w:eastAsia="zh-CN"/>
        </w:rPr>
      </w:pPr>
      <w:r>
        <w:rPr>
          <w:rFonts w:hint="eastAsia" w:ascii="微软雅黑" w:hAnsi="微软雅黑" w:eastAsia="微软雅黑" w:cs="DotumChe"/>
          <w:b/>
          <w:bCs/>
          <w:color w:val="FF0000"/>
          <w:sz w:val="24"/>
          <w:lang w:val="en-US" w:eastAsia="zh-CN"/>
        </w:rPr>
        <w:t>人才管理理念——事得其人，人尽其才，才尽其用，用有所成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提倡“业绩论英雄”，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坚持“奋斗为本、贡献为荣”的价值观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；健全“能上能下”的通道、方式和程序，界定合理的容错范围，营造鼓励奋斗、宽容失误的优良氛围，让“想干事、能干事、干成事”的干部迈开步子，走上关键岗位。</w:t>
      </w:r>
    </w:p>
    <w:p>
      <w:pPr>
        <w:numPr>
          <w:ilvl w:val="0"/>
          <w:numId w:val="3"/>
        </w:numPr>
        <w:spacing w:line="440" w:lineRule="exact"/>
        <w:ind w:left="420" w:leftChars="0" w:hanging="420" w:firstLineChars="0"/>
        <w:rPr>
          <w:rStyle w:val="9"/>
          <w:rFonts w:hint="eastAsia" w:ascii="微软雅黑" w:hAnsi="微软雅黑" w:eastAsia="微软雅黑" w:cs="Arial"/>
          <w:color w:val="FF0000"/>
          <w:sz w:val="32"/>
        </w:rPr>
      </w:pPr>
      <w:r>
        <w:rPr>
          <w:rFonts w:hint="eastAsia" w:ascii="微软雅黑" w:hAnsi="微软雅黑" w:eastAsia="微软雅黑" w:cs="DotumChe"/>
          <w:b/>
          <w:bCs/>
          <w:color w:val="FF0000"/>
          <w:sz w:val="24"/>
          <w:lang w:val="en-US" w:eastAsia="zh-CN"/>
        </w:rPr>
        <w:t>青年人才培养品牌——“先锋人才”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致力于为青年员工提供系统的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全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职业生涯发展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规划，开展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“先锋人才”培养工程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服务青年员工成长成才，为新员工铸造全过程、全方位、可持续的发展平台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针对不同专业、不同线条的员工，分“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8"/>
          <w:lang w:val="en-US" w:eastAsia="zh-CN"/>
        </w:rPr>
        <w:t>新锋、青锋、尖锋、领锋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”4 个层次推进， 覆盖每一位员工职业发展的全周期，成为企业人才培养的“摇篮”，让大家“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8"/>
          <w:lang w:val="en-US" w:eastAsia="zh-CN"/>
        </w:rPr>
        <w:t>工作在华南，成就在华南，幸福在华南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”。</w:t>
      </w:r>
    </w:p>
    <w:p>
      <w:pPr>
        <w:numPr>
          <w:ilvl w:val="0"/>
          <w:numId w:val="1"/>
        </w:numPr>
        <w:spacing w:line="440" w:lineRule="exact"/>
        <w:ind w:left="0" w:firstLine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实习体验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我们创建了“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追锋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”实习生计划，每年暑期招聘一部分优秀大二、大三学生作为实习生到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总部或各分支机构进行实习体验，我们会为实习生配备专门导师，制定专门实习培训计划，让同学们提前了解行业现状，提前得到与行业大咖对话的机会。</w:t>
      </w:r>
    </w:p>
    <w:p>
      <w:pPr>
        <w:numPr>
          <w:ilvl w:val="0"/>
          <w:numId w:val="1"/>
        </w:numPr>
        <w:spacing w:line="440" w:lineRule="exact"/>
        <w:ind w:left="0" w:firstLine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入职培训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我们安排了军训、入职仪式、课堂教学、主题讨论、体育竞赛、演讲比赛、信和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学堂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授课、网络教育学习等丰富的入职培训活动，让新员工更快更好地认识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、融入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，完成从学生到职员的蜕变。</w:t>
      </w:r>
    </w:p>
    <w:p>
      <w:pPr>
        <w:numPr>
          <w:ilvl w:val="0"/>
          <w:numId w:val="1"/>
        </w:numPr>
        <w:spacing w:line="440" w:lineRule="exact"/>
        <w:ind w:left="0" w:firstLine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cstheme="minorEastAsia"/>
          <w:b/>
          <w:sz w:val="24"/>
          <w:szCs w:val="28"/>
          <w:lang w:val="en-US" w:eastAsia="zh-CN"/>
        </w:rPr>
        <w:t>双</w:t>
      </w: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导师带徒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我们在新员工入职后，将为同学们配备“双导师”，根据新员工所学专业、发展兴趣、职业规划为其配备德才兼备的优秀专业导师和成长导师，实施多种形式的工作辅导。</w:t>
      </w:r>
    </w:p>
    <w:p>
      <w:pPr>
        <w:numPr>
          <w:ilvl w:val="0"/>
          <w:numId w:val="1"/>
        </w:numPr>
        <w:spacing w:line="440" w:lineRule="exact"/>
        <w:ind w:left="0" w:firstLine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轮岗计划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我们提倡青年员工在相关的岗位之间进行轮岗锻炼，大力推进青年复合性人才培养，促使员工掌握更多工作技能，加快员工成长。</w:t>
      </w:r>
    </w:p>
    <w:p>
      <w:pPr>
        <w:numPr>
          <w:ilvl w:val="0"/>
          <w:numId w:val="1"/>
        </w:numPr>
        <w:spacing w:line="440" w:lineRule="exact"/>
        <w:ind w:left="0" w:firstLine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专业培训</w:t>
      </w:r>
    </w:p>
    <w:p>
      <w:pPr>
        <w:pStyle w:val="11"/>
        <w:adjustRightInd w:val="0"/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我们针对员工培训需求及职业发展目标制订培训计划，分层次采取自培、外培、实地参观学习先进经验、工作交流会等多种培训方式，实施岗位技能培训与综合能力培训。通过一对一谈话、问卷调查、绩效评估、素质模型、能力测评等方式，了解青年员工的职业锚，进行职业发展定向指导，员工与企业同成长过程中迅速找到属于自己发展的“路”。</w:t>
      </w:r>
    </w:p>
    <w:p>
      <w:pPr>
        <w:numPr>
          <w:ilvl w:val="0"/>
          <w:numId w:val="1"/>
        </w:numPr>
        <w:spacing w:line="440" w:lineRule="exact"/>
        <w:ind w:left="0" w:firstLine="0"/>
        <w:rPr>
          <w:rFonts w:hint="eastAsia" w:asciiTheme="minorEastAsia" w:hAnsiTheme="minorEastAsia" w:eastAsiaTheme="minorEastAsia" w:cs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8"/>
        </w:rPr>
        <w:t>人文关怀</w:t>
      </w:r>
    </w:p>
    <w:p>
      <w:pPr>
        <w:spacing w:line="440" w:lineRule="exact"/>
        <w:rPr>
          <w:rFonts w:hint="default" w:asciiTheme="minorEastAsia" w:hAnsiTheme="minorEastAsia" w:eastAsiaTheme="minorEastAsia" w:cstheme="minorEastAsia"/>
          <w:b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我们设立了董事长信箱、协同平台、微信公众账号、微博、青年论坛、青年人才座谈会等沟通渠道，建立领导与员工谈话制度，及时了解掌握青年员工的思想动态与建议需求，关心员工发展。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01A98"/>
    <w:multiLevelType w:val="singleLevel"/>
    <w:tmpl w:val="ABE01A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B072E62"/>
    <w:multiLevelType w:val="multilevel"/>
    <w:tmpl w:val="0B072E62"/>
    <w:lvl w:ilvl="0" w:tentative="0">
      <w:start w:val="1"/>
      <w:numFmt w:val="bullet"/>
      <w:lvlText w:val=""/>
      <w:lvlJc w:val="left"/>
      <w:pPr>
        <w:ind w:left="97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35" w:hanging="420"/>
      </w:pPr>
      <w:rPr>
        <w:rFonts w:hint="default" w:ascii="Wingdings" w:hAnsi="Wingdings"/>
      </w:rPr>
    </w:lvl>
  </w:abstractNum>
  <w:abstractNum w:abstractNumId="2">
    <w:nsid w:val="61007DD9"/>
    <w:multiLevelType w:val="multilevel"/>
    <w:tmpl w:val="61007DD9"/>
    <w:lvl w:ilvl="0" w:tentative="0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DFkNDYwMGI2ZTM3ZjUzNjEzMWFlMmIyMDA0YTAifQ=="/>
  </w:docVars>
  <w:rsids>
    <w:rsidRoot w:val="140C07F1"/>
    <w:rsid w:val="0085273D"/>
    <w:rsid w:val="00A54DE7"/>
    <w:rsid w:val="04D266F2"/>
    <w:rsid w:val="0A130D4C"/>
    <w:rsid w:val="0EC50400"/>
    <w:rsid w:val="10F427EA"/>
    <w:rsid w:val="12904F55"/>
    <w:rsid w:val="131A180C"/>
    <w:rsid w:val="136F74F0"/>
    <w:rsid w:val="139F0DAC"/>
    <w:rsid w:val="140C07F1"/>
    <w:rsid w:val="1A3D1296"/>
    <w:rsid w:val="1C517F71"/>
    <w:rsid w:val="2094628F"/>
    <w:rsid w:val="2166462F"/>
    <w:rsid w:val="22F70158"/>
    <w:rsid w:val="24A85866"/>
    <w:rsid w:val="256006CF"/>
    <w:rsid w:val="266D29D3"/>
    <w:rsid w:val="278F3330"/>
    <w:rsid w:val="27D34BE5"/>
    <w:rsid w:val="291226AB"/>
    <w:rsid w:val="2D2E742A"/>
    <w:rsid w:val="328661C7"/>
    <w:rsid w:val="34555979"/>
    <w:rsid w:val="35847C34"/>
    <w:rsid w:val="37436B38"/>
    <w:rsid w:val="37C8253E"/>
    <w:rsid w:val="3AAB57D8"/>
    <w:rsid w:val="41366EFE"/>
    <w:rsid w:val="41F22623"/>
    <w:rsid w:val="4CD9372B"/>
    <w:rsid w:val="53A35AF5"/>
    <w:rsid w:val="56545B02"/>
    <w:rsid w:val="58B22EB8"/>
    <w:rsid w:val="5B351C0C"/>
    <w:rsid w:val="5B635597"/>
    <w:rsid w:val="60F00EED"/>
    <w:rsid w:val="63EE0CD6"/>
    <w:rsid w:val="65295B68"/>
    <w:rsid w:val="67B16806"/>
    <w:rsid w:val="6E611719"/>
    <w:rsid w:val="71270220"/>
    <w:rsid w:val="755C121A"/>
    <w:rsid w:val="7B0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2"/>
    </w:pPr>
    <w:rPr>
      <w:rFonts w:ascii="宋体" w:hAnsi="宋体" w:cs="宋体"/>
      <w:szCs w:val="16"/>
      <w:lang w:val="zh-CN" w:bidi="zh-CN"/>
    </w:r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qFormat/>
    <w:uiPriority w:val="0"/>
    <w:pPr>
      <w:ind w:firstLine="652" w:firstLineChars="200"/>
    </w:pPr>
    <w:rPr>
      <w:rFonts w:ascii="Calibri" w:hAnsi="Calibri" w:eastAsia="宋体" w:cs="Times New Roman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  <w:rPr>
      <w:rFonts w:cs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2776</Words>
  <Characters>2882</Characters>
  <Lines>0</Lines>
  <Paragraphs>0</Paragraphs>
  <TotalTime>5</TotalTime>
  <ScaleCrop>false</ScaleCrop>
  <LinksUpToDate>false</LinksUpToDate>
  <CharactersWithSpaces>2899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2019-09-04T02:04:00Z</dcterms:created>
  <dc:creator>Myove1393948651</dc:creator>
  <cp:lastModifiedBy>CR</cp:lastModifiedBy>
  <dcterms:modified xsi:type="dcterms:W3CDTF">2023-08-22T12:42:55Z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B0A73EEF437440FBBDC302519FD2D199</vt:lpwstr>
  </property>
</Properties>
</file>