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052B6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52B6"/>
          <w:spacing w:val="0"/>
          <w:sz w:val="33"/>
          <w:szCs w:val="33"/>
          <w:shd w:val="clear" w:fill="FFFFFF"/>
        </w:rPr>
        <w:t>废弃物入库网上申请流程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登录实验室综合管理平台，在危化品栏目中选择废弃物管理。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7325" cy="2428875"/>
            <wp:effectExtent l="0" t="0" r="9525" b="9525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 2.在废弃物登记中，点击废弃物登记。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1"/>
          <w:szCs w:val="31"/>
          <w:shd w:val="clear" w:fill="FFFFFF"/>
          <w:lang w:val="en-US"/>
        </w:rPr>
        <w:t>废弃物登记时必须提前在个人中心中完善个人信息，否则无法进行登记。</w:t>
      </w:r>
    </w:p>
    <w:tbl>
      <w:tblPr>
        <w:tblStyle w:val="7"/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6850" cy="2409825"/>
            <wp:effectExtent l="0" t="0" r="0" b="9525"/>
            <wp:docPr id="1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7325" cy="2438400"/>
            <wp:effectExtent l="0" t="0" r="9525" b="0"/>
            <wp:docPr id="5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3.详细填写废弃物信息，尤其是有害成分一栏。多种类型废弃物填写时，可选择“增加”进行添加。填写完成后点击保存。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7325" cy="2428875"/>
            <wp:effectExtent l="0" t="0" r="9525" b="9525"/>
            <wp:docPr id="4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 4.保存后，在废弃物登记处点击提交或者修改，一旦提交后则无法修改或删除。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6850" cy="1724025"/>
            <wp:effectExtent l="0" t="0" r="0" b="9525"/>
            <wp:docPr id="6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5.待审批通过后，联系暂存柜管理员和实验室与设备管理处，检查称重后存入暂存柜。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BiOTk4MDQ2ZTkwZGVlZjJiZjNlN2U3OWI5YmMifQ=="/>
  </w:docVars>
  <w:rsids>
    <w:rsidRoot w:val="00000000"/>
    <w:rsid w:val="02821D87"/>
    <w:rsid w:val="2F2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2023-12-07T03:34:00Z</dcterms:created>
  <dc:creator>xuanfeiyu</dc:creator>
  <cp:lastModifiedBy>大胡子</cp:lastModifiedBy>
  <dcterms:modified xsi:type="dcterms:W3CDTF">2023-12-07T03:41:53Z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145E66815C0D4771949F85CC8A4E7158_12</vt:lpwstr>
  </property>
</Properties>
</file>